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91" w:rsidRPr="009D5591" w:rsidRDefault="009D5591" w:rsidP="009D5591">
      <w:pPr>
        <w:pStyle w:val="Titolo1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proofErr w:type="spellStart"/>
      <w:r w:rsidRPr="009D5591">
        <w:rPr>
          <w:rFonts w:ascii="Times New Roman" w:hAnsi="Times New Roman"/>
          <w:color w:val="auto"/>
          <w:sz w:val="28"/>
          <w:szCs w:val="28"/>
          <w:u w:val="single"/>
        </w:rPr>
        <w:t>Holstentor</w:t>
      </w:r>
      <w:r>
        <w:rPr>
          <w:rFonts w:ascii="Times New Roman" w:hAnsi="Times New Roman"/>
          <w:color w:val="auto"/>
          <w:sz w:val="28"/>
          <w:szCs w:val="28"/>
          <w:u w:val="single"/>
        </w:rPr>
        <w:t>-</w:t>
      </w:r>
      <w:proofErr w:type="spellEnd"/>
      <w:r w:rsidRPr="009D5591">
        <w:rPr>
          <w:rFonts w:ascii="Times New Roman" w:hAnsi="Times New Roman"/>
          <w:color w:val="auto"/>
          <w:sz w:val="28"/>
          <w:szCs w:val="28"/>
          <w:u w:val="single"/>
        </w:rPr>
        <w:t xml:space="preserve"> LUBECCA</w:t>
      </w:r>
    </w:p>
    <w:p w:rsidR="009D5591" w:rsidRPr="009D5591" w:rsidRDefault="009D5591" w:rsidP="009D5591">
      <w:pPr>
        <w:jc w:val="both"/>
        <w:rPr>
          <w:rFonts w:ascii="Times New Roman" w:hAnsi="Times New Roman" w:cs="Times New Roman"/>
          <w:sz w:val="28"/>
          <w:szCs w:val="28"/>
        </w:rPr>
      </w:pPr>
      <w:r w:rsidRPr="009D5591">
        <w:rPr>
          <w:rFonts w:ascii="Times New Roman" w:hAnsi="Times New Roman" w:cs="Times New Roman"/>
          <w:sz w:val="28"/>
          <w:szCs w:val="28"/>
        </w:rPr>
        <w:t xml:space="preserve">Da </w:t>
      </w:r>
      <w:proofErr w:type="spellStart"/>
      <w:r w:rsidRPr="009D5591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9D5591">
        <w:rPr>
          <w:rFonts w:ascii="Times New Roman" w:hAnsi="Times New Roman" w:cs="Times New Roman"/>
          <w:sz w:val="28"/>
          <w:szCs w:val="28"/>
        </w:rPr>
        <w:t>, l'enciclopedia libera.</w:t>
      </w:r>
    </w:p>
    <w:p w:rsidR="009D5591" w:rsidRPr="009D5591" w:rsidRDefault="009D5591" w:rsidP="009D5591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9D5591">
        <w:rPr>
          <w:rFonts w:ascii="Times New Roman" w:hAnsi="Times New Roman" w:cs="Times New Roman"/>
          <w:vanish/>
          <w:sz w:val="28"/>
          <w:szCs w:val="28"/>
        </w:rPr>
        <w:t xml:space="preserve">Vai a: </w:t>
      </w:r>
      <w:hyperlink r:id="rId4" w:anchor="mw-head" w:history="1">
        <w:r w:rsidRPr="009D5591">
          <w:rPr>
            <w:rStyle w:val="Collegamentoipertestuale"/>
            <w:rFonts w:ascii="Times New Roman" w:hAnsi="Times New Roman" w:cs="Times New Roman"/>
            <w:vanish/>
            <w:color w:val="auto"/>
            <w:sz w:val="28"/>
            <w:szCs w:val="28"/>
          </w:rPr>
          <w:t>navigazione</w:t>
        </w:r>
      </w:hyperlink>
      <w:r w:rsidRPr="009D5591">
        <w:rPr>
          <w:rFonts w:ascii="Times New Roman" w:hAnsi="Times New Roman" w:cs="Times New Roman"/>
          <w:vanish/>
          <w:sz w:val="28"/>
          <w:szCs w:val="28"/>
        </w:rPr>
        <w:t xml:space="preserve">, </w:t>
      </w:r>
      <w:hyperlink r:id="rId5" w:anchor="p-search" w:history="1">
        <w:r w:rsidRPr="009D5591">
          <w:rPr>
            <w:rStyle w:val="Collegamentoipertestuale"/>
            <w:rFonts w:ascii="Times New Roman" w:hAnsi="Times New Roman" w:cs="Times New Roman"/>
            <w:vanish/>
            <w:color w:val="auto"/>
            <w:sz w:val="28"/>
            <w:szCs w:val="28"/>
          </w:rPr>
          <w:t>cerca</w:t>
        </w:r>
      </w:hyperlink>
    </w:p>
    <w:p w:rsidR="009D5591" w:rsidRPr="009D5591" w:rsidRDefault="009D5591" w:rsidP="009D5591">
      <w:pPr>
        <w:jc w:val="both"/>
        <w:rPr>
          <w:rFonts w:ascii="Times New Roman" w:hAnsi="Times New Roman" w:cs="Times New Roman"/>
          <w:sz w:val="28"/>
          <w:szCs w:val="28"/>
        </w:rPr>
      </w:pPr>
      <w:r w:rsidRPr="009D5591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2571750" cy="2838450"/>
            <wp:effectExtent l="19050" t="0" r="0" b="0"/>
            <wp:docPr id="12" name="Immagine 1" descr="http://upload.wikimedia.org/wikipedia/commons/thumb/8/88/Holstentor_03.jpg/270px-Holstentor_0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8/88/Holstentor_03.jpg/270px-Holstentor_0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t xml:space="preserve">   </w:t>
      </w:r>
      <w:r w:rsidRPr="009D5591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3181350" cy="2838450"/>
            <wp:effectExtent l="19050" t="0" r="0" b="0"/>
            <wp:docPr id="13" name="Immagine 3" descr="http://upload.wikimedia.org/wikipedia/commons/thumb/6/64/Holstentor04.jpg/300px-Holstentor0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6/64/Holstentor04.jpg/300px-Holstentor0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591" w:rsidRPr="009D5591" w:rsidRDefault="009D5591" w:rsidP="009D5591">
      <w:pPr>
        <w:rPr>
          <w:rFonts w:ascii="Times New Roman" w:hAnsi="Times New Roman" w:cs="Times New Roman"/>
          <w:sz w:val="28"/>
          <w:szCs w:val="28"/>
        </w:rPr>
      </w:pPr>
      <w:r w:rsidRPr="009D5591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9D5591">
        <w:rPr>
          <w:rFonts w:ascii="Times New Roman" w:hAnsi="Times New Roman" w:cs="Times New Roman"/>
          <w:sz w:val="28"/>
          <w:szCs w:val="28"/>
        </w:rPr>
        <w:t>Holstentor</w:t>
      </w:r>
      <w:proofErr w:type="spellEnd"/>
      <w:r w:rsidRPr="009D5591">
        <w:rPr>
          <w:rFonts w:ascii="Times New Roman" w:hAnsi="Times New Roman" w:cs="Times New Roman"/>
          <w:sz w:val="28"/>
          <w:szCs w:val="28"/>
        </w:rPr>
        <w:t xml:space="preserve"> in una cartolina del 187</w:t>
      </w:r>
      <w:r w:rsidR="00D0534B">
        <w:rPr>
          <w:rFonts w:ascii="Times New Roman" w:hAnsi="Times New Roman" w:cs="Times New Roman"/>
          <w:sz w:val="28"/>
          <w:szCs w:val="28"/>
        </w:rPr>
        <w:t>9</w:t>
      </w:r>
      <w:r w:rsidRPr="009D5591">
        <w:rPr>
          <w:rFonts w:ascii="Times New Roman" w:hAnsi="Times New Roman" w:cs="Times New Roman"/>
          <w:sz w:val="28"/>
          <w:szCs w:val="28"/>
        </w:rPr>
        <w:t xml:space="preserve">                     La </w:t>
      </w:r>
      <w:proofErr w:type="spellStart"/>
      <w:r w:rsidRPr="009D5591">
        <w:rPr>
          <w:rFonts w:ascii="Times New Roman" w:hAnsi="Times New Roman" w:cs="Times New Roman"/>
          <w:sz w:val="28"/>
          <w:szCs w:val="28"/>
        </w:rPr>
        <w:t>Holstentor</w:t>
      </w:r>
      <w:proofErr w:type="spellEnd"/>
      <w:r w:rsidRPr="009D5591">
        <w:rPr>
          <w:rFonts w:ascii="Times New Roman" w:hAnsi="Times New Roman" w:cs="Times New Roman"/>
          <w:sz w:val="28"/>
          <w:szCs w:val="28"/>
        </w:rPr>
        <w:t xml:space="preserve"> oggi</w:t>
      </w:r>
    </w:p>
    <w:p w:rsidR="009D5591" w:rsidRPr="009D5591" w:rsidRDefault="009D5591" w:rsidP="009D5591">
      <w:pPr>
        <w:pStyle w:val="NormaleWeb"/>
        <w:rPr>
          <w:sz w:val="28"/>
          <w:szCs w:val="28"/>
        </w:rPr>
      </w:pPr>
      <w:r w:rsidRPr="009D5591">
        <w:rPr>
          <w:rStyle w:val="googqs-tidbit"/>
          <w:sz w:val="28"/>
          <w:szCs w:val="28"/>
        </w:rPr>
        <w:t xml:space="preserve">La </w:t>
      </w:r>
      <w:proofErr w:type="spellStart"/>
      <w:r w:rsidRPr="009D5591">
        <w:rPr>
          <w:rStyle w:val="googqs-tidbit"/>
          <w:b/>
          <w:bCs/>
          <w:sz w:val="28"/>
          <w:szCs w:val="28"/>
        </w:rPr>
        <w:t>Holstentor</w:t>
      </w:r>
      <w:proofErr w:type="spellEnd"/>
      <w:r w:rsidRPr="009D5591">
        <w:rPr>
          <w:rStyle w:val="googqs-tidbit"/>
          <w:sz w:val="28"/>
          <w:szCs w:val="28"/>
        </w:rPr>
        <w:t xml:space="preserve"> è la più famosa delle porte cittadine appartenenti alla fortificazione medievale della città di </w:t>
      </w:r>
      <w:hyperlink r:id="rId10" w:tooltip="Lubecca" w:history="1">
        <w:proofErr w:type="spellStart"/>
        <w:r w:rsidRPr="009D5591">
          <w:rPr>
            <w:rStyle w:val="googqs-tidbit"/>
            <w:sz w:val="28"/>
            <w:szCs w:val="28"/>
            <w:u w:val="single"/>
          </w:rPr>
          <w:t>Lubecca</w:t>
        </w:r>
        <w:proofErr w:type="spellEnd"/>
      </w:hyperlink>
      <w:r w:rsidRPr="009D5591">
        <w:rPr>
          <w:rStyle w:val="googqs-tidbit"/>
          <w:sz w:val="28"/>
          <w:szCs w:val="28"/>
        </w:rPr>
        <w:t>. È uno dei monumenti più celebri di tutta la</w:t>
      </w:r>
      <w:r w:rsidRPr="009D5591">
        <w:rPr>
          <w:sz w:val="28"/>
          <w:szCs w:val="28"/>
        </w:rPr>
        <w:t xml:space="preserve"> </w:t>
      </w:r>
      <w:hyperlink r:id="rId11" w:tooltip="Germania" w:history="1">
        <w:r w:rsidRPr="009D5591">
          <w:rPr>
            <w:rStyle w:val="Collegamentoipertestuale"/>
            <w:color w:val="auto"/>
            <w:sz w:val="28"/>
            <w:szCs w:val="28"/>
          </w:rPr>
          <w:t>Germania</w:t>
        </w:r>
      </w:hyperlink>
      <w:r w:rsidRPr="009D5591">
        <w:rPr>
          <w:sz w:val="28"/>
          <w:szCs w:val="28"/>
        </w:rPr>
        <w:t xml:space="preserve">. Consiste di due torri circolari collegate con un edificio di mattoni che copre il passaggio d'ingresso. È uno dei più importanti esempi del </w:t>
      </w:r>
      <w:hyperlink r:id="rId12" w:tooltip="Gotico baltico" w:history="1">
        <w:r w:rsidRPr="009D5591">
          <w:rPr>
            <w:rStyle w:val="Collegamentoipertestuale"/>
            <w:color w:val="auto"/>
            <w:sz w:val="28"/>
            <w:szCs w:val="28"/>
          </w:rPr>
          <w:t>Gotico baltico</w:t>
        </w:r>
      </w:hyperlink>
      <w:r w:rsidRPr="009D5591">
        <w:rPr>
          <w:sz w:val="28"/>
          <w:szCs w:val="28"/>
        </w:rPr>
        <w:t xml:space="preserve"> che faceva uso principalmente del mattone rosso.</w:t>
      </w:r>
    </w:p>
    <w:p w:rsidR="009D5591" w:rsidRPr="009D5591" w:rsidRDefault="009D5591" w:rsidP="009D5591">
      <w:pPr>
        <w:pStyle w:val="Nessunaspaziatura"/>
        <w:jc w:val="both"/>
      </w:pPr>
      <w:r w:rsidRPr="009D5591">
        <w:t xml:space="preserve">La porta principale venne eretta dal mastro cittadino </w:t>
      </w:r>
      <w:hyperlink r:id="rId13" w:tooltip="Heinrich Helmsted (pagina inesistente)" w:history="1">
        <w:proofErr w:type="spellStart"/>
        <w:r w:rsidRPr="009D5591">
          <w:rPr>
            <w:rStyle w:val="Collegamentoipertestuale"/>
            <w:color w:val="auto"/>
            <w:sz w:val="28"/>
            <w:szCs w:val="28"/>
          </w:rPr>
          <w:t>Heinrich</w:t>
        </w:r>
        <w:proofErr w:type="spellEnd"/>
        <w:r w:rsidRPr="009D5591">
          <w:rPr>
            <w:rStyle w:val="Collegamentoipertestuale"/>
            <w:color w:val="auto"/>
            <w:sz w:val="28"/>
            <w:szCs w:val="28"/>
          </w:rPr>
          <w:t xml:space="preserve"> </w:t>
        </w:r>
        <w:proofErr w:type="spellStart"/>
        <w:r w:rsidRPr="009D5591">
          <w:rPr>
            <w:rStyle w:val="Collegamentoipertestuale"/>
            <w:color w:val="auto"/>
            <w:sz w:val="28"/>
            <w:szCs w:val="28"/>
          </w:rPr>
          <w:t>Helmsted</w:t>
        </w:r>
        <w:proofErr w:type="spellEnd"/>
      </w:hyperlink>
      <w:r w:rsidRPr="009D5591">
        <w:t xml:space="preserve"> tra il </w:t>
      </w:r>
      <w:hyperlink r:id="rId14" w:tooltip="1464" w:history="1">
        <w:r w:rsidRPr="009D5591">
          <w:rPr>
            <w:rStyle w:val="Collegamentoipertestuale"/>
            <w:color w:val="auto"/>
            <w:sz w:val="28"/>
            <w:szCs w:val="28"/>
          </w:rPr>
          <w:t>1464</w:t>
        </w:r>
      </w:hyperlink>
      <w:r w:rsidRPr="009D5591">
        <w:t xml:space="preserve"> e il </w:t>
      </w:r>
      <w:hyperlink r:id="rId15" w:tooltip="1478" w:history="1">
        <w:r w:rsidRPr="009D5591">
          <w:rPr>
            <w:rStyle w:val="Collegamentoipertestuale"/>
            <w:color w:val="auto"/>
            <w:sz w:val="28"/>
            <w:szCs w:val="28"/>
          </w:rPr>
          <w:t>1478</w:t>
        </w:r>
      </w:hyperlink>
      <w:r w:rsidRPr="009D5591">
        <w:t xml:space="preserve">.    </w:t>
      </w:r>
      <w:r w:rsidRPr="009D5591">
        <w:rPr>
          <w:rFonts w:ascii="Times New Roman" w:hAnsi="Times New Roman" w:cs="Times New Roman"/>
          <w:sz w:val="28"/>
          <w:szCs w:val="28"/>
        </w:rPr>
        <w:t xml:space="preserve">Quella esistente è la superstite di una serie di porte </w:t>
      </w:r>
      <w:proofErr w:type="gramStart"/>
      <w:r w:rsidRPr="009D5591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9D5591">
        <w:rPr>
          <w:rFonts w:ascii="Times New Roman" w:hAnsi="Times New Roman" w:cs="Times New Roman"/>
          <w:sz w:val="28"/>
          <w:szCs w:val="28"/>
        </w:rPr>
        <w:t xml:space="preserve"> difesa nel lato ovest della città</w:t>
      </w:r>
      <w:r w:rsidRPr="009D5591">
        <w:t>.</w:t>
      </w:r>
    </w:p>
    <w:tbl>
      <w:tblPr>
        <w:tblpPr w:leftFromText="141" w:rightFromText="141" w:vertAnchor="text" w:horzAnchor="margin" w:tblpY="-277"/>
        <w:tblOverlap w:val="never"/>
        <w:tblW w:w="11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7"/>
        <w:gridCol w:w="82"/>
      </w:tblGrid>
      <w:tr w:rsidR="009D5591" w:rsidRPr="009D5591" w:rsidTr="008C5B91">
        <w:trPr>
          <w:tblCellSpacing w:w="15" w:type="dxa"/>
        </w:trPr>
        <w:tc>
          <w:tcPr>
            <w:tcW w:w="789" w:type="pct"/>
            <w:vAlign w:val="center"/>
            <w:hideMark/>
          </w:tcPr>
          <w:p w:rsidR="009D5591" w:rsidRPr="009D5591" w:rsidRDefault="009D5591" w:rsidP="008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89" w:type="pct"/>
            <w:vAlign w:val="center"/>
            <w:hideMark/>
          </w:tcPr>
          <w:p w:rsidR="009D5591" w:rsidRPr="009D5591" w:rsidRDefault="009D5591" w:rsidP="008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89" w:type="pct"/>
            <w:vAlign w:val="center"/>
            <w:hideMark/>
          </w:tcPr>
          <w:p w:rsidR="009D5591" w:rsidRPr="009D5591" w:rsidRDefault="009D5591" w:rsidP="008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tbl>
      <w:tblPr>
        <w:tblpPr w:leftFromText="141" w:rightFromText="141" w:vertAnchor="text" w:tblpY="12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9D5591" w:rsidRPr="009D5591" w:rsidTr="009D5591">
        <w:trPr>
          <w:tblCellSpacing w:w="0" w:type="dxa"/>
        </w:trPr>
        <w:tc>
          <w:tcPr>
            <w:tcW w:w="0" w:type="auto"/>
            <w:hideMark/>
          </w:tcPr>
          <w:p w:rsidR="009D5591" w:rsidRPr="009D5591" w:rsidRDefault="009D5591" w:rsidP="009D5591">
            <w:pPr>
              <w:pStyle w:val="Nessunaspaziatur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91">
              <w:rPr>
                <w:rFonts w:ascii="Times New Roman" w:hAnsi="Times New Roman" w:cs="Times New Roman"/>
                <w:sz w:val="28"/>
                <w:szCs w:val="28"/>
              </w:rPr>
              <w:t xml:space="preserve">L’emblema di </w:t>
            </w:r>
            <w:proofErr w:type="spellStart"/>
            <w:r w:rsidRPr="009D5591">
              <w:rPr>
                <w:rFonts w:ascii="Times New Roman" w:hAnsi="Times New Roman" w:cs="Times New Roman"/>
                <w:sz w:val="28"/>
                <w:szCs w:val="28"/>
              </w:rPr>
              <w:t>Lubecca</w:t>
            </w:r>
            <w:proofErr w:type="spellEnd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L’</w:t>
            </w:r>
            <w:proofErr w:type="spellStart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>Holstentor</w:t>
            </w:r>
            <w:proofErr w:type="spellEnd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è la porta d’accesso alla città, raffigura il potere e la fierezza della “regina della Lega anseatica “ Questa costruzione fortificata, in stile tardo gotico dalle pareti di uno spessore di 3,50 metri, risale al XV secolo. Poco mancò che nel 1855 </w:t>
            </w:r>
            <w:proofErr w:type="gramStart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>venisse</w:t>
            </w:r>
            <w:proofErr w:type="gramEnd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sacrificata per far posto alla stazione ferroviaria. Fortunatamente </w:t>
            </w:r>
            <w:proofErr w:type="gramStart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>venne</w:t>
            </w:r>
            <w:proofErr w:type="gramEnd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preservata diventando così l’emblema di questa città un tempo così influente. L’interno della costruzione è stato adibito a museo in cui è stata allestita una mostra permanente dedicata all’attività del mercante. L’esposizione </w:t>
            </w:r>
            <w:proofErr w:type="spellStart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>„Die</w:t>
            </w:r>
            <w:proofErr w:type="spellEnd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>Hanse</w:t>
            </w:r>
            <w:proofErr w:type="spellEnd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>Macht</w:t>
            </w:r>
            <w:proofErr w:type="spellEnd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>des</w:t>
            </w:r>
            <w:proofErr w:type="spellEnd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>Handels</w:t>
            </w:r>
            <w:proofErr w:type="spellEnd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Start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D5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la Lega anseatica –il potere del commercio) documenta il lavoro di un’orgogliosa corporazione che contribuì al prestigio della città nel corso del medioevo. </w:t>
            </w:r>
          </w:p>
        </w:tc>
      </w:tr>
    </w:tbl>
    <w:p w:rsidR="009D5591" w:rsidRPr="00CA7A63" w:rsidRDefault="009D5591" w:rsidP="009D5591">
      <w:pPr>
        <w:pStyle w:val="NormaleWeb"/>
        <w:jc w:val="both"/>
        <w:rPr>
          <w:color w:val="FF0000"/>
          <w:sz w:val="28"/>
          <w:szCs w:val="28"/>
        </w:rPr>
      </w:pPr>
    </w:p>
    <w:p w:rsidR="009D5591" w:rsidRPr="00CA7A63" w:rsidRDefault="009D5591" w:rsidP="009D559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FF0000"/>
          <w:sz w:val="28"/>
          <w:szCs w:val="28"/>
          <w:lang w:eastAsia="it-IT"/>
        </w:rPr>
      </w:pPr>
    </w:p>
    <w:p w:rsidR="009D5591" w:rsidRPr="00CA7A63" w:rsidRDefault="009D5591" w:rsidP="009D5591">
      <w:pPr>
        <w:pStyle w:val="NormaleWeb"/>
        <w:jc w:val="both"/>
        <w:rPr>
          <w:color w:val="FF0000"/>
          <w:sz w:val="28"/>
          <w:szCs w:val="28"/>
        </w:rPr>
      </w:pPr>
    </w:p>
    <w:p w:rsidR="00B20621" w:rsidRDefault="00B20621"/>
    <w:sectPr w:rsidR="00B20621" w:rsidSect="009D559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D5591"/>
    <w:rsid w:val="009D5591"/>
    <w:rsid w:val="00A0601B"/>
    <w:rsid w:val="00B20621"/>
    <w:rsid w:val="00D0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591"/>
  </w:style>
  <w:style w:type="paragraph" w:styleId="Titolo1">
    <w:name w:val="heading 1"/>
    <w:basedOn w:val="Normale"/>
    <w:link w:val="Titolo1Carattere"/>
    <w:uiPriority w:val="9"/>
    <w:qFormat/>
    <w:rsid w:val="009D5591"/>
    <w:pPr>
      <w:spacing w:before="100" w:beforeAutospacing="1" w:after="100" w:afterAutospacing="1" w:line="240" w:lineRule="auto"/>
      <w:outlineLvl w:val="0"/>
    </w:pPr>
    <w:rPr>
      <w:rFonts w:ascii="Corbel" w:eastAsia="Times New Roman" w:hAnsi="Corbel" w:cs="Times New Roman"/>
      <w:b/>
      <w:bCs/>
      <w:i/>
      <w:iCs/>
      <w:color w:val="2F5391"/>
      <w:kern w:val="3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5591"/>
    <w:rPr>
      <w:rFonts w:ascii="Corbel" w:eastAsia="Times New Roman" w:hAnsi="Corbel" w:cs="Times New Roman"/>
      <w:b/>
      <w:bCs/>
      <w:i/>
      <w:iCs/>
      <w:color w:val="2F5391"/>
      <w:kern w:val="36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559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D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D559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it-IT"/>
    </w:rPr>
  </w:style>
  <w:style w:type="character" w:customStyle="1" w:styleId="googqs-tidbit">
    <w:name w:val="goog_qs-tidbit"/>
    <w:basedOn w:val="Carpredefinitoparagrafo"/>
    <w:rsid w:val="009D55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File:Holstentor04.jpg" TargetMode="External"/><Relationship Id="rId13" Type="http://schemas.openxmlformats.org/officeDocument/2006/relationships/hyperlink" Target="http://it.wikipedia.org/w/index.php?title=Heinrich_Helmsted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it.wikipedia.org/wiki/Gotico_baltic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File:Holstentor_03.jpg" TargetMode="External"/><Relationship Id="rId11" Type="http://schemas.openxmlformats.org/officeDocument/2006/relationships/hyperlink" Target="http://it.wikipedia.org/wiki/Germania" TargetMode="External"/><Relationship Id="rId5" Type="http://schemas.openxmlformats.org/officeDocument/2006/relationships/hyperlink" Target="http://it.wikipedia.org/wiki/Holstentor" TargetMode="External"/><Relationship Id="rId15" Type="http://schemas.openxmlformats.org/officeDocument/2006/relationships/hyperlink" Target="http://it.wikipedia.org/wiki/1478" TargetMode="External"/><Relationship Id="rId10" Type="http://schemas.openxmlformats.org/officeDocument/2006/relationships/hyperlink" Target="http://it.wikipedia.org/wiki/Lubecca" TargetMode="External"/><Relationship Id="rId4" Type="http://schemas.openxmlformats.org/officeDocument/2006/relationships/hyperlink" Target="http://it.wikipedia.org/wiki/Holstentor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it.wikipedia.org/wiki/146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3</cp:revision>
  <dcterms:created xsi:type="dcterms:W3CDTF">2013-02-07T19:10:00Z</dcterms:created>
  <dcterms:modified xsi:type="dcterms:W3CDTF">2013-02-07T22:40:00Z</dcterms:modified>
</cp:coreProperties>
</file>